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(Nur für ISV-Lizenzgebührenprogramm)</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262DBA2D"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w:t>
            </w:r>
            <w:r w:rsidR="009255F6">
              <w:rPr>
                <w:sz w:val="24"/>
                <w:szCs w:val="24"/>
              </w:rPr>
              <w:t>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965398" w:rsidRDefault="00090FA2" w:rsidP="00AE1920">
            <w:pPr>
              <w:rPr>
                <w:rFonts w:eastAsia="SimSun"/>
                <w:b/>
                <w:bCs/>
                <w:sz w:val="24"/>
                <w:szCs w:val="24"/>
                <w:lang w:eastAsia="en-US" w:bidi="ar-SA"/>
              </w:rPr>
            </w:pPr>
          </w:p>
          <w:p w14:paraId="203668E2" w14:textId="5D966E9E" w:rsidR="00090FA2" w:rsidRPr="00A97A7B" w:rsidRDefault="00090FA2" w:rsidP="00AE192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053BDE" w:rsidRPr="004C6708">
              <w:rPr>
                <w:rFonts w:cs="Tahoma"/>
                <w:bCs w:val="0"/>
                <w:sz w:val="24"/>
                <w:szCs w:val="24"/>
                <w:u w:color="FFFFFF"/>
                <w:vertAlign w:val="superscript"/>
              </w:rPr>
              <w:footnoteReference w:id="2"/>
            </w:r>
            <w:r>
              <w:rPr>
                <w:rFonts w:cs="Tahoma"/>
                <w:sz w:val="24"/>
                <w:szCs w:val="24"/>
                <w:u w:val="single"/>
              </w:rPr>
              <w:t xml:space="preserve"> </w:t>
            </w:r>
          </w:p>
          <w:p w14:paraId="62626304" w14:textId="3BCD2A1C" w:rsidR="00090FA2" w:rsidRPr="00A97A7B" w:rsidRDefault="00090FA2" w:rsidP="00AE192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53BDE" w:rsidRPr="004C6708">
              <w:rPr>
                <w:rFonts w:cs="Tahoma"/>
                <w:bCs w:val="0"/>
                <w:sz w:val="24"/>
                <w:szCs w:val="24"/>
                <w:u w:color="FFFFFF"/>
                <w:vertAlign w:val="superscript"/>
              </w:rPr>
              <w:footnoteReference w:id="3"/>
            </w:r>
            <w:r>
              <w:rPr>
                <w:rFonts w:cs="Tahoma"/>
                <w:sz w:val="24"/>
                <w:szCs w:val="24"/>
                <w:u w:val="single"/>
              </w:rPr>
              <w:t xml:space="preserve"> </w:t>
            </w:r>
          </w:p>
          <w:p w14:paraId="737D8424" w14:textId="419A777D" w:rsidR="00090FA2" w:rsidRPr="00A97A7B" w:rsidRDefault="00090FA2" w:rsidP="00AE1920">
            <w:pPr>
              <w:pStyle w:val="LicenseNumber"/>
              <w:spacing w:before="120" w:after="120"/>
            </w:pPr>
            <w:r>
              <w:rPr>
                <w:rFonts w:cs="Tahoma"/>
                <w:sz w:val="24"/>
                <w:szCs w:val="24"/>
              </w:rPr>
              <w:t xml:space="preserve">Clientzugriffslizenzen für Geräte: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53BDE"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LIZENZBEDINGUNGEN</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965398" w:rsidRDefault="003C2DE9" w:rsidP="00AD2919">
      <w:pPr>
        <w:rPr>
          <w:spacing w:val="-1"/>
        </w:rPr>
      </w:pPr>
      <w:r w:rsidRPr="00965398">
        <w:rPr>
          <w:spacing w:val="-1"/>
          <w:sz w:val="20"/>
          <w:szCs w:val="20"/>
        </w:rPr>
        <w:t xml:space="preserve">Diese Lizenzbestimmungen sind ein Vertrag zwischen Ihnen und </w:t>
      </w:r>
      <w:r w:rsidRPr="00965398">
        <w:rPr>
          <w:rFonts w:eastAsia="SimSun"/>
          <w:spacing w:val="-1"/>
          <w:sz w:val="20"/>
          <w:szCs w:val="20"/>
        </w:rPr>
        <w:t>dem Lizenzgeber der Softwareanwendung oder Suite von Anwendungen, mit der Sie die Microsoft-Software erworben haben („Lizenzgeber“)</w:t>
      </w:r>
      <w:r w:rsidRPr="00965398">
        <w:rPr>
          <w:spacing w:val="-1"/>
          <w:sz w:val="20"/>
          <w:szCs w:val="20"/>
        </w:rPr>
        <w:t xml:space="preserve">. Bitte lesen Sie die Lizenzbestimmungen aufmerksam durch. </w:t>
      </w:r>
      <w:r w:rsidRPr="00965398">
        <w:rPr>
          <w:rFonts w:eastAsia="SimSun"/>
          <w:spacing w:val="-1"/>
          <w:sz w:val="20"/>
          <w:szCs w:val="20"/>
        </w:rPr>
        <w:t>Microsoft Corporation oder eines ihrer verbundenen Unternehmen (zusammen „Microsoft“) hat die Software an den Lizenzgeber lizenziert.</w:t>
      </w:r>
    </w:p>
    <w:p w14:paraId="483504BC" w14:textId="77777777" w:rsidR="00AD2919" w:rsidRPr="009557D1" w:rsidRDefault="004B6D26" w:rsidP="009A7BD7">
      <w:pPr>
        <w:rPr>
          <w:spacing w:val="-1"/>
        </w:rPr>
      </w:pPr>
      <w:r w:rsidRPr="009557D1">
        <w:rPr>
          <w:spacing w:val="-1"/>
          <w:sz w:val="20"/>
          <w:szCs w:val="20"/>
        </w:rPr>
        <w:t xml:space="preserve">Diese Bestimmungen gelten für die o. g. Software und haben Vorrang vor allen Bestimmungen im elektronischen Format, die möglicherweise in der Software enthalten sind. Bei Konflikten zwischen den in der Software enthaltenen Bestimmungen und diesen Bestimmungen haben diese Bestimmungen Vorrang. Die Bestimmungen gelten außerdem für alle Microsoft-Dienste und -Updates für die Software, sofern diese nicht über eigene, abweichende Bestimmungen verfügen. </w:t>
      </w:r>
    </w:p>
    <w:p w14:paraId="3503860D" w14:textId="77777777" w:rsidR="00AA45AF" w:rsidRPr="00A97A7B" w:rsidRDefault="00AD2919" w:rsidP="00671D4E">
      <w:pPr>
        <w:pStyle w:val="Preamble"/>
      </w:pPr>
      <w:r>
        <w:rPr>
          <w:b w:val="0"/>
          <w:sz w:val="20"/>
          <w:szCs w:val="20"/>
        </w:rPr>
        <w:t>Mit der Verwendung der Software stimmen Sie diesen Bestimmungen zu. Falls Sie die Bestimmungen nicht akzeptieren, sind Sie nicht berechtigt, die Software zu verwenden. Geben Sie diese stattdessen gegen Rückerstattung oder Gutschrift des Kaufpreises der Stelle zurück, von der Sie sie erhalten haben.</w:t>
      </w:r>
    </w:p>
    <w:p w14:paraId="633A6DD2" w14:textId="77777777" w:rsidR="003C2DE9" w:rsidRPr="00A97A7B" w:rsidRDefault="005F7C07" w:rsidP="004C6708">
      <w:pPr>
        <w:pStyle w:val="Heading1"/>
        <w:numPr>
          <w:ilvl w:val="0"/>
          <w:numId w:val="28"/>
        </w:numPr>
        <w:pBdr>
          <w:top w:val="single" w:sz="4" w:space="1" w:color="auto"/>
        </w:pBdr>
      </w:pPr>
      <w:r>
        <w:rPr>
          <w:sz w:val="20"/>
          <w:szCs w:val="20"/>
        </w:rPr>
        <w:t>ÜBERBLICK.</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Die Software umfasst</w:t>
      </w:r>
    </w:p>
    <w:p w14:paraId="71E8C685" w14:textId="77777777" w:rsidR="003C2DE9" w:rsidRPr="00A97A7B" w:rsidRDefault="005F7C07" w:rsidP="00CC50E7">
      <w:pPr>
        <w:pStyle w:val="Bullet3"/>
        <w:ind w:left="1080" w:hanging="360"/>
      </w:pPr>
      <w:r>
        <w:rPr>
          <w:sz w:val="20"/>
          <w:szCs w:val="20"/>
        </w:rPr>
        <w:t>Serversoftware</w:t>
      </w:r>
    </w:p>
    <w:p w14:paraId="0A14DDF2" w14:textId="77777777" w:rsidR="003C2DE9" w:rsidRPr="00A97A7B" w:rsidRDefault="005F7C07" w:rsidP="00CC50E7">
      <w:pPr>
        <w:pStyle w:val="Bullet3"/>
        <w:ind w:left="1080" w:hanging="360"/>
      </w:pPr>
      <w:r>
        <w:rPr>
          <w:sz w:val="20"/>
          <w:szCs w:val="20"/>
        </w:rPr>
        <w:t>zusätzliche Software, die nur mit der Serversoftware verwendet werden darf.</w:t>
      </w:r>
    </w:p>
    <w:p w14:paraId="5D9349AE" w14:textId="77777777" w:rsidR="003C2DE9" w:rsidRPr="00A97A7B" w:rsidRDefault="005F7C07" w:rsidP="004B34DD">
      <w:pPr>
        <w:pStyle w:val="Heading2"/>
        <w:tabs>
          <w:tab w:val="clear" w:pos="993"/>
        </w:tabs>
        <w:ind w:left="720" w:hanging="360"/>
      </w:pPr>
      <w:r>
        <w:rPr>
          <w:sz w:val="20"/>
          <w:szCs w:val="20"/>
        </w:rPr>
        <w:t xml:space="preserve">Lizenzmodell. </w:t>
      </w:r>
      <w:r>
        <w:rPr>
          <w:b w:val="0"/>
          <w:sz w:val="20"/>
          <w:szCs w:val="20"/>
        </w:rPr>
        <w:t>Die Software wird auf folgender Basis lizenziert:</w:t>
      </w:r>
    </w:p>
    <w:p w14:paraId="767E7DF6" w14:textId="77777777" w:rsidR="00E346DC" w:rsidRPr="00A97A7B" w:rsidRDefault="005F7C07" w:rsidP="00CC50E7">
      <w:pPr>
        <w:pStyle w:val="Bullet3"/>
        <w:ind w:left="1080" w:hanging="360"/>
      </w:pPr>
      <w:r>
        <w:rPr>
          <w:sz w:val="20"/>
          <w:szCs w:val="20"/>
        </w:rPr>
        <w:t xml:space="preserve">Anzahl von ausgeführten Instanzen der Serversoftware und </w:t>
      </w:r>
    </w:p>
    <w:p w14:paraId="6DB339D4" w14:textId="77777777" w:rsidR="006A4C79" w:rsidRPr="00A97A7B" w:rsidRDefault="005F7C07" w:rsidP="00CC50E7">
      <w:pPr>
        <w:pStyle w:val="Bullet3"/>
        <w:ind w:left="1080" w:hanging="360"/>
      </w:pPr>
      <w:r>
        <w:rPr>
          <w:sz w:val="20"/>
          <w:szCs w:val="20"/>
        </w:rPr>
        <w:t>Anzahl von Geräten und Nutzern, die auf Instanzen der Serversoftware zugreifen.</w:t>
      </w:r>
    </w:p>
    <w:p w14:paraId="0FBE76C6" w14:textId="7C5D6E78" w:rsidR="00B67FDB" w:rsidRPr="00A97A7B" w:rsidRDefault="005F7C07" w:rsidP="00CC50E7">
      <w:pPr>
        <w:pStyle w:val="Heading2"/>
        <w:tabs>
          <w:tab w:val="clear" w:pos="993"/>
          <w:tab w:val="num" w:pos="720"/>
        </w:tabs>
        <w:ind w:left="720" w:hanging="360"/>
      </w:pPr>
      <w:r>
        <w:rPr>
          <w:sz w:val="20"/>
          <w:szCs w:val="20"/>
        </w:rPr>
        <w:t>Lizenzbestimmungen für die Verwendung mit Virtualisierungstechnologien.</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14:paraId="49C1B3BE" w14:textId="17279BA7" w:rsidR="00B67FDB" w:rsidRPr="00A97A7B" w:rsidRDefault="005F7C07" w:rsidP="00EC2DB4">
      <w:pPr>
        <w:pStyle w:val="Heading3Bold"/>
        <w:numPr>
          <w:ilvl w:val="2"/>
          <w:numId w:val="14"/>
        </w:numPr>
        <w:tabs>
          <w:tab w:val="clear" w:pos="1077"/>
          <w:tab w:val="num" w:pos="1080"/>
        </w:tabs>
        <w:ind w:left="1080" w:hanging="360"/>
      </w:pPr>
      <w:r>
        <w:rPr>
          <w:sz w:val="20"/>
          <w:szCs w:val="20"/>
        </w:rPr>
        <w:lastRenderedPageBreak/>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w:t>
      </w:r>
      <w:r w:rsidR="00EC2DB4">
        <w:rPr>
          <w:b w:val="0"/>
          <w:bCs w:val="0"/>
          <w:sz w:val="20"/>
          <w:szCs w:val="20"/>
        </w:rPr>
        <w:t> </w:t>
      </w:r>
      <w:r>
        <w:rPr>
          <w:b w:val="0"/>
          <w:bCs w:val="0"/>
          <w:sz w:val="20"/>
          <w:szCs w:val="20"/>
        </w:rPr>
        <w:t>eine Instanz so lange als ausgeführt betrachtet (unabhängig davon, ob deren Anweisungen weiterhin ausgeführt werden oder nicht), bis sie aus dem Speicher entfernt wird.</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Betriebssystemumgebung („OSE“)</w:t>
      </w:r>
      <w:r>
        <w:rPr>
          <w:bCs w:val="0"/>
          <w:sz w:val="20"/>
          <w:szCs w:val="20"/>
        </w:rPr>
        <w:t>.</w:t>
      </w:r>
      <w:r>
        <w:rPr>
          <w:b w:val="0"/>
          <w:bCs w:val="0"/>
          <w:sz w:val="20"/>
          <w:szCs w:val="20"/>
        </w:rPr>
        <w:t xml:space="preserve"> Eine OSE </w:t>
      </w:r>
    </w:p>
    <w:p w14:paraId="13683BA6" w14:textId="3E35ECC7" w:rsidR="00B67FDB" w:rsidRPr="00A97A7B" w:rsidRDefault="00266528" w:rsidP="00CC50E7">
      <w:pPr>
        <w:pStyle w:val="Bullet4"/>
        <w:tabs>
          <w:tab w:val="clear" w:pos="1437"/>
          <w:tab w:val="num" w:pos="1440"/>
        </w:tabs>
        <w:ind w:left="1440" w:hanging="360"/>
      </w:pPr>
      <w:r>
        <w:rPr>
          <w:sz w:val="20"/>
          <w:szCs w:val="20"/>
        </w:rPr>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0C50C86" w14:textId="77777777" w:rsidR="00B67FDB" w:rsidRPr="00A97A7B"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14:paraId="427E3384" w14:textId="77777777" w:rsidR="00A30398" w:rsidRPr="00A97A7B" w:rsidRDefault="005F7C07" w:rsidP="00CC50E7">
      <w:pPr>
        <w:pStyle w:val="Body3"/>
        <w:tabs>
          <w:tab w:val="num" w:pos="1440"/>
        </w:tabs>
        <w:ind w:left="1440" w:hanging="360"/>
      </w:pPr>
      <w:r>
        <w:rPr>
          <w:sz w:val="20"/>
          <w:szCs w:val="20"/>
        </w:rPr>
        <w:t>Es gibt zwei Typen von OSEs: physische und virtuelle.</w:t>
      </w:r>
    </w:p>
    <w:p w14:paraId="7E8B29B0" w14:textId="77777777" w:rsidR="00B776DC" w:rsidRPr="00A97A7B"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14:paraId="3BCB43DE" w14:textId="77777777" w:rsidR="00B776DC" w:rsidRPr="00A97A7B"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14:paraId="7FF76A18" w14:textId="77777777" w:rsidR="00B67FDB" w:rsidRPr="00A97A7B" w:rsidRDefault="005F7C07" w:rsidP="00CC50E7">
      <w:pPr>
        <w:pStyle w:val="Body3"/>
        <w:tabs>
          <w:tab w:val="num" w:pos="1440"/>
        </w:tabs>
        <w:ind w:left="1440" w:hanging="360"/>
      </w:pPr>
      <w:r>
        <w:rPr>
          <w:sz w:val="20"/>
          <w:szCs w:val="20"/>
        </w:rPr>
        <w:t>Ein physisches Hardwaresystem kann über eines oder beide der folgenden Elemente verfügen:</w:t>
      </w:r>
    </w:p>
    <w:p w14:paraId="51AE21BD" w14:textId="77777777" w:rsidR="00B67FDB" w:rsidRPr="00A97A7B" w:rsidRDefault="005F7C07" w:rsidP="00CC50E7">
      <w:pPr>
        <w:pStyle w:val="Bullet4"/>
        <w:tabs>
          <w:tab w:val="clear" w:pos="1437"/>
          <w:tab w:val="num" w:pos="1440"/>
        </w:tabs>
        <w:ind w:left="1440" w:hanging="360"/>
      </w:pPr>
      <w:r>
        <w:rPr>
          <w:sz w:val="20"/>
          <w:szCs w:val="20"/>
        </w:rPr>
        <w:t>eine physische Betriebssystemumgebung und</w:t>
      </w:r>
    </w:p>
    <w:p w14:paraId="205135CA" w14:textId="77777777" w:rsidR="00B67FDB" w:rsidRPr="00A97A7B" w:rsidRDefault="005F7C07" w:rsidP="00CC50E7">
      <w:pPr>
        <w:pStyle w:val="Bullet4"/>
        <w:tabs>
          <w:tab w:val="clear" w:pos="1437"/>
          <w:tab w:val="num" w:pos="1440"/>
        </w:tabs>
        <w:ind w:left="1440" w:hanging="360"/>
      </w:pPr>
      <w:r>
        <w:rPr>
          <w:sz w:val="20"/>
          <w:szCs w:val="20"/>
        </w:rPr>
        <w:t>eine oder mehrere virtuelle Betriebssystemumgebungen.</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14:paraId="31926C5B" w14:textId="77777777" w:rsidR="003C2DE9" w:rsidRPr="00A97A7B" w:rsidRDefault="005F7C07" w:rsidP="004C6708">
      <w:pPr>
        <w:pStyle w:val="Heading1"/>
        <w:ind w:left="360" w:hanging="360"/>
      </w:pPr>
      <w:r>
        <w:rPr>
          <w:sz w:val="20"/>
          <w:szCs w:val="20"/>
        </w:rPr>
        <w:t>NUTZUNGSRECHTE.</w:t>
      </w:r>
    </w:p>
    <w:p w14:paraId="5953A8B6" w14:textId="77777777" w:rsidR="003C2DE9" w:rsidRPr="00A97A7B" w:rsidRDefault="000D3B46" w:rsidP="00CC50E7">
      <w:pPr>
        <w:pStyle w:val="Heading2"/>
        <w:tabs>
          <w:tab w:val="clear" w:pos="993"/>
          <w:tab w:val="num" w:pos="720"/>
        </w:tabs>
        <w:ind w:left="720" w:hanging="360"/>
      </w:pPr>
      <w:r>
        <w:rPr>
          <w:sz w:val="20"/>
          <w:szCs w:val="20"/>
        </w:rPr>
        <w:t>Lizenzierter Server.</w:t>
      </w:r>
    </w:p>
    <w:p w14:paraId="797C3D28" w14:textId="77777777" w:rsidR="0014406D" w:rsidRPr="00A97A7B" w:rsidRDefault="000D3B46" w:rsidP="00CC50E7">
      <w:pPr>
        <w:pStyle w:val="Heading3"/>
        <w:tabs>
          <w:tab w:val="num" w:pos="1077"/>
        </w:tabs>
      </w:pPr>
      <w:r>
        <w:rPr>
          <w:sz w:val="20"/>
          <w:szCs w:val="20"/>
        </w:rPr>
        <w:t>Lizenzierter Server ist der jeweilige Server, dem eine Lizenz zugewiesen wird.</w:t>
      </w:r>
    </w:p>
    <w:p w14:paraId="2E432F14" w14:textId="77777777" w:rsidR="003C2DE9" w:rsidRPr="00A97A7B"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5F90008" w14:textId="4AEC0BD9" w:rsidR="005912D8" w:rsidRPr="00A97A7B" w:rsidRDefault="004C3C15" w:rsidP="00356513">
      <w:pPr>
        <w:pStyle w:val="Bullet3"/>
        <w:numPr>
          <w:ilvl w:val="0"/>
          <w:numId w:val="23"/>
        </w:numPr>
      </w:pPr>
      <w:r>
        <w:rPr>
          <w:sz w:val="20"/>
          <w:szCs w:val="20"/>
        </w:rPr>
        <w:t>Azure DevOps-Builddienste</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14:paraId="1BB43B78" w14:textId="77777777" w:rsidR="003C2DE9" w:rsidRPr="00A97A7B" w:rsidRDefault="005F7C07" w:rsidP="00057836">
      <w:pPr>
        <w:pStyle w:val="Heading2"/>
        <w:tabs>
          <w:tab w:val="clear" w:pos="993"/>
          <w:tab w:val="num" w:pos="720"/>
        </w:tabs>
        <w:ind w:left="720" w:hanging="360"/>
      </w:pPr>
      <w:r>
        <w:rPr>
          <w:sz w:val="20"/>
          <w:szCs w:val="20"/>
        </w:rPr>
        <w:lastRenderedPageBreak/>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 xml:space="preserve">Die Software kann Komponenten von Dritten enthalten, die über separate rechtliche Mitteilungen verfügen oder anderen Verträgen unterliegen, die in der bzw. den ThirdPartyNotices-Datei(en) beschrieben sind, die der Software beiliegt/beiliegen. </w:t>
      </w:r>
    </w:p>
    <w:p w14:paraId="53E9F0D7" w14:textId="77777777" w:rsidR="003C2DE9" w:rsidRPr="00A97A7B" w:rsidRDefault="005F7C07" w:rsidP="004C6708">
      <w:pPr>
        <w:pStyle w:val="Heading1"/>
        <w:ind w:left="360" w:hanging="360"/>
      </w:pPr>
      <w:r>
        <w:rPr>
          <w:sz w:val="20"/>
          <w:szCs w:val="20"/>
        </w:rPr>
        <w:t>ZUSÄTZLICHE LIZENZANFORDERUNGEN UND/ODER NUTZUNGSRECHTE.</w:t>
      </w:r>
    </w:p>
    <w:p w14:paraId="50C95726" w14:textId="77777777" w:rsidR="003C2DE9" w:rsidRPr="00A97A7B"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14:paraId="57212DFC" w14:textId="77777777" w:rsidR="003C2DE9" w:rsidRPr="00A97A7B" w:rsidRDefault="007C46AC" w:rsidP="00057836">
      <w:pPr>
        <w:pStyle w:val="Bullet4"/>
        <w:tabs>
          <w:tab w:val="clear" w:pos="1437"/>
          <w:tab w:val="num" w:pos="1080"/>
        </w:tabs>
        <w:ind w:left="1080" w:hanging="360"/>
      </w:pPr>
      <w:r>
        <w:rPr>
          <w:sz w:val="20"/>
          <w:szCs w:val="20"/>
        </w:rPr>
        <w:t>den Zugriff über einen anderen lizenzierten Server oder</w:t>
      </w:r>
    </w:p>
    <w:p w14:paraId="2EEE0CF1" w14:textId="78C11C5D" w:rsidR="00BA4FCD" w:rsidRPr="00A97A7B" w:rsidRDefault="005F7C07" w:rsidP="00057836">
      <w:pPr>
        <w:pStyle w:val="Bullet4"/>
        <w:tabs>
          <w:tab w:val="clear" w:pos="1437"/>
          <w:tab w:val="num" w:pos="1080"/>
        </w:tabs>
        <w:ind w:left="1080" w:hanging="360"/>
      </w:pPr>
      <w:r>
        <w:rPr>
          <w:sz w:val="20"/>
          <w:szCs w:val="20"/>
        </w:rPr>
        <w:t>bis zu zwei Nutzer oder Geräte zur Verwaltung der Software.</w:t>
      </w:r>
    </w:p>
    <w:p w14:paraId="7D733EB5" w14:textId="5A9A8575" w:rsidR="008B728C" w:rsidRPr="00A97A7B"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14:paraId="493998B2" w14:textId="54DBBFC7" w:rsidR="003C2DE9" w:rsidRPr="006130B8" w:rsidRDefault="00BB4843" w:rsidP="00307EC8">
      <w:pPr>
        <w:pStyle w:val="Bullet4"/>
        <w:numPr>
          <w:ilvl w:val="0"/>
          <w:numId w:val="0"/>
        </w:numPr>
        <w:ind w:left="720"/>
        <w:rPr>
          <w:spacing w:val="1"/>
        </w:rPr>
      </w:pPr>
      <w:r w:rsidRPr="006130B8">
        <w:rPr>
          <w:spacing w:val="1"/>
          <w:sz w:val="20"/>
          <w:szCs w:val="20"/>
        </w:rPr>
        <w:t>Es gibt zwei Typen von CALs: eine für Geräte und eine für Nutzer. Eine Geräte-CAL erlaubt einem Gerät, das von</w:t>
      </w:r>
      <w:r w:rsidR="00307EC8">
        <w:rPr>
          <w:spacing w:val="1"/>
          <w:sz w:val="20"/>
          <w:szCs w:val="20"/>
        </w:rPr>
        <w:t> </w:t>
      </w:r>
      <w:r w:rsidRPr="006130B8">
        <w:rPr>
          <w:spacing w:val="1"/>
          <w:sz w:val="20"/>
          <w:szCs w:val="20"/>
        </w:rPr>
        <w:t>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den eines Dritten).</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14:paraId="3CAE16D0" w14:textId="77777777" w:rsidR="0093564D" w:rsidRPr="00A97A7B" w:rsidRDefault="00317891" w:rsidP="005436C2">
      <w:pPr>
        <w:pStyle w:val="Bullet4"/>
        <w:tabs>
          <w:tab w:val="clear" w:pos="1437"/>
          <w:tab w:val="num" w:pos="1080"/>
        </w:tabs>
        <w:ind w:left="1080" w:hanging="360"/>
      </w:pPr>
      <w:r>
        <w:rPr>
          <w:sz w:val="20"/>
          <w:szCs w:val="20"/>
        </w:rPr>
        <w:t>zum Anzeigen, Editieren und zur Eingabe von Arbeitselementen,</w:t>
      </w:r>
    </w:p>
    <w:p w14:paraId="7DADF11E" w14:textId="5ABC0B81" w:rsidR="00317891" w:rsidRPr="00A97A7B" w:rsidRDefault="00317891" w:rsidP="005436C2">
      <w:pPr>
        <w:pStyle w:val="Bullet4"/>
        <w:tabs>
          <w:tab w:val="clear" w:pos="1437"/>
          <w:tab w:val="num" w:pos="1080"/>
        </w:tabs>
        <w:ind w:left="1080" w:hanging="360"/>
      </w:pPr>
      <w:r>
        <w:rPr>
          <w:sz w:val="20"/>
          <w:szCs w:val="20"/>
        </w:rPr>
        <w:t>für den Zugriff auf Azure DevOps Server Reporting,</w:t>
      </w:r>
    </w:p>
    <w:p w14:paraId="1507F7A6" w14:textId="140DD8C6" w:rsidR="0093564D" w:rsidRPr="00A97A7B" w:rsidRDefault="0093564D" w:rsidP="005436C2">
      <w:pPr>
        <w:pStyle w:val="Bullet4"/>
        <w:tabs>
          <w:tab w:val="clear" w:pos="1437"/>
          <w:tab w:val="num" w:pos="1080"/>
        </w:tabs>
        <w:ind w:left="1080" w:hanging="360"/>
      </w:pPr>
      <w:r>
        <w:rPr>
          <w:sz w:val="20"/>
          <w:szCs w:val="20"/>
        </w:rPr>
        <w:t>für den Zugriff auf Azure DevOps Services über einen Azure DevOps Server Proxy,</w:t>
      </w:r>
    </w:p>
    <w:p w14:paraId="6DB45692" w14:textId="1107D8F2" w:rsidR="00907F9A" w:rsidRPr="00A97A7B" w:rsidRDefault="00317891" w:rsidP="005436C2">
      <w:pPr>
        <w:pStyle w:val="Bullet4"/>
        <w:tabs>
          <w:tab w:val="clear" w:pos="1437"/>
          <w:tab w:val="num" w:pos="1080"/>
        </w:tabs>
        <w:ind w:left="1080" w:hanging="360"/>
      </w:pPr>
      <w:r>
        <w:rPr>
          <w:sz w:val="20"/>
          <w:szCs w:val="20"/>
        </w:rPr>
        <w:t>für Genehmigungen von Phasen als Teil der Release Management Pipeline oder</w:t>
      </w:r>
    </w:p>
    <w:p w14:paraId="126314B0" w14:textId="6F56E489" w:rsidR="009B7E14" w:rsidRPr="00A97A7B" w:rsidRDefault="009B7E14" w:rsidP="005436C2">
      <w:pPr>
        <w:pStyle w:val="Bullet4"/>
        <w:tabs>
          <w:tab w:val="clear" w:pos="1437"/>
          <w:tab w:val="num" w:pos="1080"/>
        </w:tabs>
        <w:ind w:left="1080" w:hanging="360"/>
      </w:pPr>
      <w:r>
        <w:rPr>
          <w:sz w:val="20"/>
          <w:szCs w:val="20"/>
        </w:rPr>
        <w:t>für den Zugriff auf den Azure DevOps Server über eine gepoolte Verbindung von einer anderen integrierten Anwendung oder einem anderen integrierten Service.</w:t>
      </w:r>
    </w:p>
    <w:p w14:paraId="5EEBF8B0" w14:textId="5DDE99AA" w:rsidR="00333AA2" w:rsidRPr="00A97A7B" w:rsidRDefault="00333AA2" w:rsidP="005436C2">
      <w:pPr>
        <w:pStyle w:val="Bullet4"/>
        <w:tabs>
          <w:tab w:val="clear" w:pos="1437"/>
          <w:tab w:val="num" w:pos="1080"/>
        </w:tabs>
        <w:ind w:left="1080" w:hanging="360"/>
      </w:pPr>
      <w:r>
        <w:rPr>
          <w:sz w:val="20"/>
          <w:szCs w:val="20"/>
        </w:rPr>
        <w:t>Für Ihre zahlungspflichtigen Nutzer in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Azure DevOps Server-Builddienste.</w:t>
      </w:r>
      <w:r>
        <w:rPr>
          <w:b w:val="0"/>
          <w:sz w:val="20"/>
          <w:szCs w:val="20"/>
        </w:rPr>
        <w:t xml:space="preserve"> Bei einem oder mehreren lizenzierten Nutzern von Visual Studio Enterprise-Abonnement, Visual Studio Professional-Abonnement oder einem Nachfolgeprogramm der genannten Programme sind Sie auch berechtigt, die Visual Studio-Software zu installieren und es Ihren lizenzierten Nutzern und lizenzierten Geräten zu gestatten, im Rahmen der Azure DevOps Server-Builddienste auf die Software zuzugreifen und diese zu verwenden.</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14:paraId="1B3792EA" w14:textId="77777777" w:rsidR="003C2DE9" w:rsidRPr="00A97A7B"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14:paraId="3E0BD873" w14:textId="77777777" w:rsidR="003C2DE9" w:rsidRPr="00A97A7B"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lastRenderedPageBreak/>
        <w:t xml:space="preserve">Erforderliche Zusätzliche Lizenzen. </w:t>
      </w:r>
      <w:r>
        <w:rPr>
          <w:b w:val="0"/>
          <w:sz w:val="20"/>
          <w:szCs w:val="20"/>
        </w:rPr>
        <w:t>Um diese Features der Software nutzen zu können, ist Folgendes nötig:</w:t>
      </w:r>
    </w:p>
    <w:p w14:paraId="09A43BB2" w14:textId="70872BFD" w:rsidR="00286990" w:rsidRPr="00A97A7B" w:rsidRDefault="00A862E3" w:rsidP="006A68F8">
      <w:pPr>
        <w:pStyle w:val="Bullet4"/>
        <w:tabs>
          <w:tab w:val="clear" w:pos="1437"/>
          <w:tab w:val="num" w:pos="1080"/>
        </w:tabs>
        <w:ind w:left="1080" w:hanging="360"/>
      </w:pPr>
      <w:r>
        <w:rPr>
          <w:sz w:val="20"/>
          <w:szCs w:val="20"/>
        </w:rPr>
        <w:t>Testplan</w:t>
      </w:r>
    </w:p>
    <w:p w14:paraId="7C92CEFD" w14:textId="77777777" w:rsidR="00A22FCC" w:rsidRPr="00A97A7B" w:rsidRDefault="00753122" w:rsidP="002F713A">
      <w:pPr>
        <w:pStyle w:val="Heading2"/>
        <w:widowControl w:val="0"/>
        <w:numPr>
          <w:ilvl w:val="0"/>
          <w:numId w:val="0"/>
        </w:numPr>
        <w:ind w:left="1080"/>
      </w:pPr>
      <w:r>
        <w:rPr>
          <w:b w:val="0"/>
          <w:sz w:val="20"/>
          <w:szCs w:val="20"/>
        </w:rPr>
        <w:t>Ein Nutzer muss für eines der folgenden Produkte lizenziert sein:</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Visual Studio Enterprise-Abonnement,</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monatliches Abonnement,</w:t>
      </w:r>
    </w:p>
    <w:p w14:paraId="5F156342" w14:textId="6531D0F8" w:rsidR="00A22FCC" w:rsidRPr="00A97A7B" w:rsidRDefault="009617CD" w:rsidP="0019394B">
      <w:pPr>
        <w:pStyle w:val="Heading2"/>
        <w:widowControl w:val="0"/>
        <w:numPr>
          <w:ilvl w:val="0"/>
          <w:numId w:val="26"/>
        </w:numPr>
      </w:pPr>
      <w:r>
        <w:rPr>
          <w:b w:val="0"/>
          <w:sz w:val="20"/>
          <w:szCs w:val="20"/>
        </w:rPr>
        <w:t>MSDN-Plattformen</w:t>
      </w:r>
      <w:bookmarkEnd w:id="0"/>
      <w:r>
        <w:rPr>
          <w:b w:val="0"/>
          <w:sz w:val="20"/>
          <w:szCs w:val="20"/>
        </w:rPr>
        <w:t xml:space="preserve"> oder</w:t>
      </w:r>
    </w:p>
    <w:p w14:paraId="528DD63C" w14:textId="1777DB76" w:rsidR="00753122" w:rsidRPr="00A97A7B" w:rsidRDefault="00764DC7" w:rsidP="004C6708">
      <w:pPr>
        <w:pStyle w:val="Heading2"/>
        <w:numPr>
          <w:ilvl w:val="0"/>
          <w:numId w:val="26"/>
        </w:numPr>
      </w:pPr>
      <w:r>
        <w:rPr>
          <w:b w:val="0"/>
          <w:sz w:val="20"/>
          <w:szCs w:val="20"/>
        </w:rPr>
        <w:t>einen zahlungspflichtigen Plan für Azure DevOps Basic + Testplan.</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14:paraId="494F458B" w14:textId="77777777" w:rsidR="003C2DE9" w:rsidRPr="00A97A7B" w:rsidRDefault="005F7C07" w:rsidP="00057836">
      <w:pPr>
        <w:pStyle w:val="Bullet3"/>
      </w:pPr>
      <w:r>
        <w:rPr>
          <w:sz w:val="20"/>
          <w:szCs w:val="20"/>
        </w:rPr>
        <w:t>Zusammenfassen von Verbindungen</w:t>
      </w:r>
    </w:p>
    <w:p w14:paraId="012BC555" w14:textId="77777777" w:rsidR="003C2DE9" w:rsidRPr="00A97A7B" w:rsidRDefault="005F7C07" w:rsidP="00057836">
      <w:pPr>
        <w:pStyle w:val="Bullet3"/>
      </w:pPr>
      <w:r>
        <w:rPr>
          <w:sz w:val="20"/>
          <w:szCs w:val="20"/>
        </w:rPr>
        <w:t>Umleiten von Informationen</w:t>
      </w:r>
    </w:p>
    <w:p w14:paraId="073E0D92" w14:textId="77777777" w:rsidR="003C2DE9" w:rsidRPr="00A97A7B" w:rsidRDefault="005F7C07" w:rsidP="00057836">
      <w:pPr>
        <w:pStyle w:val="Bullet3"/>
      </w:pPr>
      <w:r>
        <w:rPr>
          <w:sz w:val="20"/>
          <w:szCs w:val="20"/>
        </w:rPr>
        <w:t>Verringern der Anzahl der Geräte oder Nutzer, die direkt auf die Software zugreifen oder sie verwenden oder</w:t>
      </w:r>
    </w:p>
    <w:p w14:paraId="729B5CA6" w14:textId="765905B0" w:rsidR="00923842" w:rsidRPr="00A97A7B" w:rsidRDefault="00923842" w:rsidP="00057836">
      <w:pPr>
        <w:pStyle w:val="Bullet3"/>
      </w:pPr>
      <w:r>
        <w:rPr>
          <w:sz w:val="20"/>
          <w:szCs w:val="20"/>
        </w:rPr>
        <w:t>Verringern der Anzahl von Betriebssystemumgebungen, Geräten oder Nutzern, die das Produkt direkt verwaltet.</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Möglicherweise gelten weitere Lizenzbestimmungen und Gebühren.</w:t>
      </w:r>
    </w:p>
    <w:p w14:paraId="15C69F38" w14:textId="77777777" w:rsidR="005A6A5F" w:rsidRPr="00A97A7B" w:rsidRDefault="001E4979" w:rsidP="004C6708">
      <w:pPr>
        <w:pStyle w:val="Heading1"/>
        <w:ind w:left="360" w:hanging="360"/>
      </w:pPr>
      <w:r>
        <w:rPr>
          <w:sz w:val="20"/>
          <w:szCs w:val="20"/>
        </w:rPr>
        <w:t xml:space="preserve">DATEN. </w:t>
      </w:r>
    </w:p>
    <w:p w14:paraId="3502164A" w14:textId="09BB1520" w:rsidR="00666209" w:rsidRPr="00A36EAC" w:rsidRDefault="001E4979" w:rsidP="00DA788A">
      <w:pPr>
        <w:pStyle w:val="Heading2"/>
        <w:tabs>
          <w:tab w:val="clear" w:pos="993"/>
          <w:tab w:val="num" w:pos="720"/>
        </w:tabs>
        <w:ind w:left="720" w:hanging="360"/>
        <w:rPr>
          <w:sz w:val="20"/>
          <w:szCs w:val="20"/>
        </w:rPr>
      </w:pPr>
      <w:r w:rsidRPr="00A36EAC">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Softwaredokumentation. </w:t>
      </w:r>
      <w:r w:rsidRPr="00A36EAC">
        <w:rPr>
          <w:b w:val="0"/>
          <w:sz w:val="20"/>
          <w:szCs w:val="20"/>
        </w:rPr>
        <w:t>Es gibt zudem e</w:t>
      </w:r>
      <w:r w:rsidRPr="00A36EAC">
        <w:rPr>
          <w:b w:val="0"/>
          <w:color w:val="000000"/>
          <w:sz w:val="20"/>
          <w:szCs w:val="20"/>
        </w:rPr>
        <w:t>inige Features in der Software, mit denen Sie und Microsoft Daten von Nutzern Ihrer Anwendungen erheben können</w:t>
      </w:r>
      <w:r w:rsidRPr="00A36EAC">
        <w:rPr>
          <w:rFonts w:eastAsia="SimSun"/>
          <w:b w:val="0"/>
          <w:sz w:val="20"/>
          <w:szCs w:val="20"/>
        </w:rPr>
        <w:t xml:space="preserve">. Bei der Verwendung dieser Features müssen Sie anwendbares Recht einhalten und entsprechende Benachrichtigungen an die Nutzer Ihrer Anwendungen zusammen mit der Datenschutzerklärung von Microsoft senden. Unsere Datenschutzerklärung finden Sie auf </w:t>
      </w:r>
      <w:hyperlink r:id="rId11" w:history="1">
        <w:r w:rsidRPr="00A36EAC">
          <w:rPr>
            <w:rStyle w:val="Hyperlink"/>
            <w:rFonts w:cs="Tahoma"/>
            <w:b w:val="0"/>
            <w:sz w:val="20"/>
            <w:szCs w:val="20"/>
          </w:rPr>
          <w:t>https://go.microsoft.com/fwlink/?LinkId=398505</w:t>
        </w:r>
      </w:hyperlink>
      <w:r w:rsidRPr="00A36EAC">
        <w:rPr>
          <w:rFonts w:eastAsia="SimSun"/>
          <w:b w:val="0"/>
          <w:sz w:val="20"/>
          <w:szCs w:val="20"/>
        </w:rPr>
        <w:t>. Nähere Informationen zur Erfassung und Verwendung von Daten finden Sie in der Softwaredokumentation und der Datenschutzerklärung</w:t>
      </w:r>
      <w:r w:rsidRPr="00A36EAC">
        <w:rPr>
          <w:b w:val="0"/>
          <w:bCs w:val="0"/>
          <w:sz w:val="20"/>
          <w:szCs w:val="20"/>
        </w:rPr>
        <w:t xml:space="preserve">. </w:t>
      </w:r>
      <w:r w:rsidRPr="00A36EAC">
        <w:rPr>
          <w:rFonts w:eastAsia="SimSun"/>
          <w:b w:val="0"/>
          <w:sz w:val="20"/>
          <w:szCs w:val="20"/>
        </w:rPr>
        <w:t>Wenn Sie die Software verwenden, stimmen Sie damit diesen Praktiken zu.</w:t>
      </w:r>
    </w:p>
    <w:p w14:paraId="6C96B61D" w14:textId="65265293" w:rsidR="00153FB2" w:rsidRPr="00A36EAC" w:rsidRDefault="00153FB2" w:rsidP="00DA788A">
      <w:pPr>
        <w:pStyle w:val="Heading2"/>
        <w:tabs>
          <w:tab w:val="clear" w:pos="993"/>
          <w:tab w:val="num" w:pos="720"/>
        </w:tabs>
        <w:ind w:left="720" w:hanging="360"/>
        <w:rPr>
          <w:sz w:val="20"/>
          <w:szCs w:val="20"/>
        </w:rPr>
      </w:pPr>
      <w:r w:rsidRPr="00A36EAC">
        <w:rPr>
          <w:sz w:val="20"/>
          <w:szCs w:val="20"/>
        </w:rPr>
        <w:t xml:space="preserve">Verarbeitung Personenbezogener Daten. </w:t>
      </w:r>
      <w:r w:rsidRPr="00A36EAC">
        <w:rPr>
          <w:b w:val="0"/>
          <w:sz w:val="20"/>
          <w:szCs w:val="20"/>
        </w:rPr>
        <w:t xml:space="preserve">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 </w:t>
      </w:r>
      <w:hyperlink r:id="rId12" w:history="1">
        <w:r w:rsidRPr="00A36EAC">
          <w:rPr>
            <w:rStyle w:val="Hyperlink"/>
            <w:rFonts w:eastAsia="SimSun" w:cs="Tahoma"/>
            <w:b w:val="0"/>
            <w:sz w:val="20"/>
            <w:szCs w:val="20"/>
          </w:rPr>
          <w:t>https://docs.microsoft.com/en-us/legal/gdpr</w:t>
        </w:r>
      </w:hyperlink>
      <w:r w:rsidRPr="00A36EAC">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ZUSÄTZLICHE MICROSOFT-PRODUKTE</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Eine Kopie von Microsoft SQL Server 2017 ist in der Software enthalten. Sie ist für Sie nach den Bestimmungen ihrer Lizenz im Ordner „Lizenzen“ im Softwareinstallationsverzeichnis und zusätzlich wie folgt lizenziert:</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 xml:space="preserve">Sie sind berechtigt, in einer physischen oder virtuellen Betriebssystemumgebung jeweils nur eine Instanz der SQL Server 2017 Standard Edition auf einem Server zur Unterstützung der Software auszuführen. Sie benötigen für diese Verwendung keine SQL Server-CALs. Sie sind berechtigt, eine beliebige Anzahl von Instanzen dieser SQL Server 2017 Edition auf einem beliebigen Ihrer Server oder Speichermedien ausschließlich zu dem Zweck zu erstellen und zu speichern, Ihr Recht zum Ausführen einer Instanz der SQL </w:t>
      </w:r>
      <w:r>
        <w:rPr>
          <w:rFonts w:eastAsia="SimSun"/>
          <w:sz w:val="20"/>
          <w:szCs w:val="20"/>
        </w:rPr>
        <w:lastRenderedPageBreak/>
        <w:t>Server 2017 Edition wie in diesem Vertrag dargelegt auszuüben.</w:t>
      </w:r>
    </w:p>
    <w:p w14:paraId="3F1C10DD" w14:textId="575F3AE4" w:rsidR="00606AF2" w:rsidRPr="00A97A7B"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sowie ihren eigenen Produktsupportrichtlinien, die im der Software beiliegenden</w:t>
      </w:r>
      <w:r>
        <w:rPr>
          <w:b w:val="0"/>
          <w:color w:val="002060"/>
          <w:sz w:val="20"/>
          <w:szCs w:val="20"/>
        </w:rPr>
        <w:t xml:space="preserve"> </w:t>
      </w:r>
      <w:r>
        <w:rPr>
          <w:b w:val="0"/>
          <w:sz w:val="20"/>
          <w:szCs w:val="20"/>
        </w:rPr>
        <w:t>Microsoft-Ordner „Lizenzen“ aufgeführt sind. Ausnahme: Sind in der dazugehörigen Installation Lizenzbestimmungen für die Komponenten direkt enthalten, so gelten diese Lizenzbestimmungen.</w:t>
      </w:r>
    </w:p>
    <w:p w14:paraId="32BFC760" w14:textId="77AF9970" w:rsidR="003C2DE9" w:rsidRPr="00A97A7B" w:rsidRDefault="005F7C07" w:rsidP="009C1CC1">
      <w:pPr>
        <w:pStyle w:val="Heading1"/>
      </w:pPr>
      <w:r>
        <w:rPr>
          <w:sz w:val="20"/>
          <w:szCs w:val="20"/>
        </w:rPr>
        <w:t xml:space="preserve">LIZENZUMFANG.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Außerdem sind Sie nicht berechtigt:</w:t>
      </w:r>
    </w:p>
    <w:p w14:paraId="02508698" w14:textId="77777777" w:rsidR="003C2DE9" w:rsidRPr="00A97A7B" w:rsidRDefault="005F7C07" w:rsidP="009C1CC1">
      <w:pPr>
        <w:pStyle w:val="Bullet2"/>
      </w:pPr>
      <w:r>
        <w:rPr>
          <w:sz w:val="20"/>
          <w:szCs w:val="20"/>
        </w:rPr>
        <w:t>technische Beschränkungen der Software zu umgehen</w:t>
      </w:r>
    </w:p>
    <w:p w14:paraId="66482B17" w14:textId="77777777" w:rsidR="003C2DE9" w:rsidRPr="00A97A7B"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14:paraId="79AA0232" w14:textId="77777777" w:rsidR="00E36D36" w:rsidRPr="00A97A7B" w:rsidRDefault="00E36D36" w:rsidP="009C1CC1">
      <w:pPr>
        <w:pStyle w:val="Bullet2"/>
      </w:pPr>
      <w:r>
        <w:rPr>
          <w:rFonts w:eastAsia="SimSun"/>
          <w:sz w:val="20"/>
          <w:szCs w:val="20"/>
        </w:rPr>
        <w:t>Hinweise in der Software von Microsoft oder seinen Lieferanten zu entfernen, zu minimieren, zu blockieren oder zu ändern,</w:t>
      </w:r>
    </w:p>
    <w:p w14:paraId="0A233E24" w14:textId="77777777" w:rsidR="005476D7" w:rsidRPr="00A97A7B" w:rsidRDefault="005476D7" w:rsidP="009C1CC1">
      <w:pPr>
        <w:pStyle w:val="Bullet2"/>
      </w:pPr>
      <w:r>
        <w:rPr>
          <w:sz w:val="20"/>
          <w:szCs w:val="20"/>
        </w:rPr>
        <w:t>die Software in rechtswidriger Weise zu nutzen oder</w:t>
      </w:r>
    </w:p>
    <w:p w14:paraId="0D736D8F" w14:textId="77777777" w:rsidR="00BE5663" w:rsidRPr="00A97A7B" w:rsidRDefault="008C2558" w:rsidP="006468E6">
      <w:pPr>
        <w:pStyle w:val="Bullet2"/>
      </w:pPr>
      <w:r>
        <w:rPr>
          <w:sz w:val="20"/>
          <w:szCs w:val="20"/>
        </w:rPr>
        <w:t xml:space="preserve">die Software weiterzugeben, zu veröffentlichen, zu vermieten oder zu verleasen oder </w:t>
      </w:r>
    </w:p>
    <w:p w14:paraId="051395DE" w14:textId="4A3876A4" w:rsidR="003C2DE9" w:rsidRPr="00A97A7B" w:rsidRDefault="008C2558" w:rsidP="006468E6">
      <w:pPr>
        <w:pStyle w:val="Bullet2"/>
      </w:pPr>
      <w:bookmarkStart w:id="2" w:name="_Hlk6907148"/>
      <w:r>
        <w:rPr>
          <w:sz w:val="20"/>
          <w:szCs w:val="20"/>
        </w:rPr>
        <w:t>die Software Dritten als alleinstehendes Angebot zur Nutzung bereitzustellen oder sie mit Ihren Anwendungen zu kombinieren.</w:t>
      </w:r>
    </w:p>
    <w:bookmarkEnd w:id="2"/>
    <w:p w14:paraId="5B690E42" w14:textId="77777777" w:rsidR="00A15FE9" w:rsidRPr="00A97A7B"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6854E50C" w14:textId="77777777" w:rsidR="003C2DE9" w:rsidRPr="00A97A7B"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14:paraId="12024BD4" w14:textId="77777777" w:rsidR="00D27198" w:rsidRPr="00A97A7B" w:rsidRDefault="00D27198" w:rsidP="00D27198">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D23B551" w14:textId="77777777" w:rsidR="00D27198" w:rsidRPr="00A97A7B"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14:paraId="5DEFD232" w14:textId="77777777" w:rsidR="00A31C77" w:rsidRPr="00A97A7B" w:rsidRDefault="00A31C77" w:rsidP="00404F3D">
      <w:pPr>
        <w:pStyle w:val="Heading1Unbold"/>
        <w:spacing w:before="120" w:after="120"/>
        <w:ind w:left="360" w:hanging="360"/>
      </w:pPr>
      <w:r>
        <w:rPr>
          <w:b/>
          <w:bCs/>
          <w:sz w:val="20"/>
          <w:szCs w:val="20"/>
        </w:rPr>
        <w:t xml:space="preserve">ÜBERTRAGUNG AUF EINEN DRITTEN.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EXPORTEINSCHRÄNKUNGEN.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14:paraId="74720B0C" w14:textId="77777777" w:rsidR="002061BD" w:rsidRPr="00A97A7B"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VERBRAUCHERRECHTE; REGIONALE UNTERSCHIEDE.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anderen Rechte nicht, wenn die Gesetze Ihres Staates oder Lands dies nicht zulassen.</w:t>
      </w:r>
    </w:p>
    <w:p w14:paraId="778818A4" w14:textId="77777777" w:rsidR="000F756B" w:rsidRPr="00A97A7B" w:rsidRDefault="000F756B" w:rsidP="000F756B">
      <w:pPr>
        <w:pStyle w:val="Heading1"/>
        <w:ind w:left="360" w:hanging="360"/>
      </w:pPr>
      <w:r>
        <w:rPr>
          <w:sz w:val="20"/>
          <w:szCs w:val="20"/>
        </w:rPr>
        <w:t xml:space="preserve">KEINE FEHLERTOLERANZ. DIE SOFTWARE IST NICHT FEHLERTOLERANT. DER LIZENZGEBER HAT UNABHÄNGIG FESTGELEGT, WIE DIE SOFTWARE IN DER INTEGRIERTEN SOFTWAREANWENDUNG </w:t>
      </w:r>
      <w:r>
        <w:rPr>
          <w:sz w:val="20"/>
          <w:szCs w:val="20"/>
        </w:rPr>
        <w:lastRenderedPageBreak/>
        <w:t>ODER REIHE VON ANWENDUNGEN, DIE ER IHNEN LIZENZIERT, ZU VERWENDEN IST, UND MICROSOFT VERLÄSST SICH DARAUF, DASS DER LIZENZGEBER AUSREICHENDE TESTS DURCHGEFÜHRT HAT, UM FESTZULEGEN, DASS DIE SOFTWARE FÜR EINE SOLCHE VERWENDUNG GEEIGNET IST.</w:t>
      </w:r>
    </w:p>
    <w:p w14:paraId="3B264650" w14:textId="77777777" w:rsidR="000F756B" w:rsidRPr="00A97A7B"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66432EB" w14:textId="64652290" w:rsidR="000F756B" w:rsidRPr="00A97A7B"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p w14:paraId="53FA8F80" w14:textId="4E5FF6C5" w:rsidR="001717C7" w:rsidRPr="00A97A7B" w:rsidRDefault="001717C7" w:rsidP="001717C7"/>
    <w:p w14:paraId="528AB22A" w14:textId="2DE1E3DA" w:rsidR="001717C7" w:rsidRPr="00A97A7B" w:rsidRDefault="001717C7" w:rsidP="001717C7"/>
    <w:sectPr w:rsidR="001717C7" w:rsidRPr="00A97A7B" w:rsidSect="00735D9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45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21A5" w14:textId="77777777" w:rsidR="00E530E1" w:rsidRDefault="00E530E1" w:rsidP="003C2DE9">
      <w:pPr>
        <w:spacing w:before="0" w:after="0"/>
      </w:pPr>
      <w:r>
        <w:separator/>
      </w:r>
    </w:p>
    <w:p w14:paraId="0EDD99A0" w14:textId="77777777" w:rsidR="00E530E1" w:rsidRDefault="00E530E1"/>
    <w:p w14:paraId="665B4B24" w14:textId="77777777" w:rsidR="00E530E1" w:rsidRDefault="00E530E1"/>
  </w:endnote>
  <w:endnote w:type="continuationSeparator" w:id="0">
    <w:p w14:paraId="61E8B152" w14:textId="77777777" w:rsidR="00E530E1" w:rsidRDefault="00E530E1" w:rsidP="003C2DE9">
      <w:pPr>
        <w:spacing w:before="0" w:after="0"/>
      </w:pPr>
      <w:r>
        <w:continuationSeparator/>
      </w:r>
    </w:p>
    <w:p w14:paraId="36E78FB9" w14:textId="77777777" w:rsidR="00E530E1" w:rsidRDefault="00E530E1"/>
    <w:p w14:paraId="6C818C7D" w14:textId="77777777" w:rsidR="00E530E1" w:rsidRDefault="00E530E1"/>
  </w:endnote>
  <w:endnote w:type="continuationNotice" w:id="1">
    <w:p w14:paraId="72193AE4" w14:textId="77777777" w:rsidR="00E530E1" w:rsidRDefault="00E530E1">
      <w:pPr>
        <w:spacing w:before="0" w:after="0"/>
      </w:pPr>
    </w:p>
    <w:p w14:paraId="4CF52B46" w14:textId="77777777" w:rsidR="00E530E1" w:rsidRDefault="00E530E1"/>
    <w:p w14:paraId="7489EC60" w14:textId="77777777" w:rsidR="00E530E1" w:rsidRDefault="00E53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053BDE" w:rsidRDefault="00053BDE">
    <w:pPr>
      <w:pStyle w:val="Footer"/>
    </w:pPr>
  </w:p>
  <w:p w14:paraId="6396BD4D" w14:textId="77777777" w:rsidR="00053BDE" w:rsidRDefault="00053BDE"/>
  <w:p w14:paraId="65E515D1" w14:textId="77777777" w:rsidR="00FD4309" w:rsidRDefault="00FD430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053BDE" w:rsidRPr="00DD60AD" w14:paraId="03F599AF" w14:textId="77777777" w:rsidTr="00053BDE">
      <w:tc>
        <w:tcPr>
          <w:tcW w:w="5328" w:type="dxa"/>
        </w:tcPr>
        <w:p w14:paraId="7B4A8774" w14:textId="2E62272B" w:rsidR="00053BDE" w:rsidRPr="00053BDE" w:rsidRDefault="00053BDE" w:rsidP="00053BDE">
          <w:pPr>
            <w:tabs>
              <w:tab w:val="center" w:pos="4680"/>
              <w:tab w:val="right" w:pos="9360"/>
            </w:tabs>
            <w:spacing w:before="0" w:after="0"/>
            <w:rPr>
              <w:sz w:val="16"/>
              <w:szCs w:val="16"/>
              <w:lang w:val="en-US" w:eastAsia="en-US" w:bidi="ar-SA"/>
            </w:rPr>
          </w:pPr>
          <w:r w:rsidRPr="00053BDE">
            <w:rPr>
              <w:sz w:val="16"/>
              <w:szCs w:val="16"/>
              <w:lang w:val="en-US" w:eastAsia="en-US" w:bidi="ar-SA"/>
            </w:rPr>
            <w:t>ISV Royalty Agreement EULA (</w:t>
          </w:r>
          <w:r w:rsidR="009255F6">
            <w:rPr>
              <w:sz w:val="16"/>
              <w:szCs w:val="16"/>
              <w:lang w:val="en-US" w:eastAsia="en-US" w:bidi="ar-SA"/>
            </w:rPr>
            <w:t>December</w:t>
          </w:r>
          <w:r w:rsidRPr="00053BDE">
            <w:rPr>
              <w:sz w:val="16"/>
              <w:szCs w:val="16"/>
              <w:lang w:val="en-US" w:eastAsia="en-US" w:bidi="ar-SA"/>
            </w:rPr>
            <w:t xml:space="preserve"> 1, 20</w:t>
          </w:r>
          <w:r w:rsidR="009255F6">
            <w:rPr>
              <w:sz w:val="16"/>
              <w:szCs w:val="16"/>
              <w:lang w:val="en-US" w:eastAsia="en-US" w:bidi="ar-SA"/>
            </w:rPr>
            <w:t>22</w:t>
          </w:r>
          <w:r w:rsidRPr="00053BDE">
            <w:rPr>
              <w:sz w:val="16"/>
              <w:szCs w:val="16"/>
              <w:lang w:val="en-US" w:eastAsia="en-US" w:bidi="ar-SA"/>
            </w:rPr>
            <w:t>)</w:t>
          </w:r>
        </w:p>
      </w:tc>
      <w:tc>
        <w:tcPr>
          <w:tcW w:w="5220" w:type="dxa"/>
        </w:tcPr>
        <w:p w14:paraId="753B6DF0" w14:textId="77777777" w:rsidR="00053BDE" w:rsidRPr="00053BDE" w:rsidRDefault="00053BDE" w:rsidP="00053BDE">
          <w:pPr>
            <w:tabs>
              <w:tab w:val="center" w:pos="4680"/>
              <w:tab w:val="right" w:pos="9360"/>
            </w:tabs>
            <w:spacing w:before="0" w:after="0"/>
            <w:jc w:val="right"/>
            <w:rPr>
              <w:sz w:val="16"/>
              <w:szCs w:val="16"/>
              <w:lang w:val="en-US" w:eastAsia="en-US" w:bidi="ar-SA"/>
            </w:rPr>
          </w:pPr>
          <w:r w:rsidRPr="00053BDE">
            <w:rPr>
              <w:sz w:val="16"/>
              <w:szCs w:val="16"/>
              <w:lang w:val="en-US" w:eastAsia="en-US" w:bidi="ar-SA"/>
            </w:rPr>
            <w:t xml:space="preserve">Page </w:t>
          </w:r>
          <w:r w:rsidRPr="00053BDE">
            <w:rPr>
              <w:sz w:val="16"/>
              <w:szCs w:val="16"/>
              <w:lang w:val="en-US" w:eastAsia="en-US" w:bidi="ar-SA"/>
            </w:rPr>
            <w:fldChar w:fldCharType="begin"/>
          </w:r>
          <w:r w:rsidRPr="00053BDE">
            <w:rPr>
              <w:sz w:val="16"/>
              <w:szCs w:val="16"/>
              <w:lang w:val="en-US" w:eastAsia="en-US" w:bidi="ar-SA"/>
            </w:rPr>
            <w:instrText xml:space="preserve"> PAGE </w:instrText>
          </w:r>
          <w:r w:rsidRPr="00053BDE">
            <w:rPr>
              <w:sz w:val="16"/>
              <w:szCs w:val="16"/>
              <w:lang w:val="en-US" w:eastAsia="en-US" w:bidi="ar-SA"/>
            </w:rPr>
            <w:fldChar w:fldCharType="separate"/>
          </w:r>
          <w:r w:rsidR="007033CD">
            <w:rPr>
              <w:noProof/>
              <w:sz w:val="16"/>
              <w:szCs w:val="16"/>
              <w:lang w:val="en-US" w:eastAsia="en-US" w:bidi="ar-SA"/>
            </w:rPr>
            <w:t>1</w:t>
          </w:r>
          <w:r w:rsidRPr="00053BDE">
            <w:rPr>
              <w:sz w:val="16"/>
              <w:szCs w:val="16"/>
              <w:lang w:val="en-US" w:eastAsia="en-US" w:bidi="ar-SA"/>
            </w:rPr>
            <w:fldChar w:fldCharType="end"/>
          </w:r>
          <w:r w:rsidRPr="00053BDE">
            <w:rPr>
              <w:sz w:val="16"/>
              <w:szCs w:val="16"/>
              <w:lang w:val="en-US" w:eastAsia="en-US" w:bidi="ar-SA"/>
            </w:rPr>
            <w:t xml:space="preserve"> of </w:t>
          </w:r>
          <w:r w:rsidRPr="00053BDE">
            <w:rPr>
              <w:sz w:val="16"/>
              <w:szCs w:val="16"/>
              <w:lang w:val="en-US" w:eastAsia="en-US" w:bidi="ar-SA"/>
            </w:rPr>
            <w:fldChar w:fldCharType="begin"/>
          </w:r>
          <w:r w:rsidRPr="00053BDE">
            <w:rPr>
              <w:sz w:val="16"/>
              <w:szCs w:val="16"/>
              <w:lang w:val="en-US" w:eastAsia="en-US" w:bidi="ar-SA"/>
            </w:rPr>
            <w:instrText xml:space="preserve"> NUMPAGES </w:instrText>
          </w:r>
          <w:r w:rsidRPr="00053BDE">
            <w:rPr>
              <w:sz w:val="16"/>
              <w:szCs w:val="16"/>
              <w:lang w:val="en-US" w:eastAsia="en-US" w:bidi="ar-SA"/>
            </w:rPr>
            <w:fldChar w:fldCharType="separate"/>
          </w:r>
          <w:r w:rsidR="007033CD">
            <w:rPr>
              <w:noProof/>
              <w:sz w:val="16"/>
              <w:szCs w:val="16"/>
              <w:lang w:val="en-US" w:eastAsia="en-US" w:bidi="ar-SA"/>
            </w:rPr>
            <w:t>6</w:t>
          </w:r>
          <w:r w:rsidRPr="00053BDE">
            <w:rPr>
              <w:sz w:val="16"/>
              <w:szCs w:val="16"/>
              <w:lang w:val="en-US" w:eastAsia="en-US" w:bidi="ar-SA"/>
            </w:rPr>
            <w:fldChar w:fldCharType="end"/>
          </w:r>
        </w:p>
      </w:tc>
    </w:tr>
  </w:tbl>
  <w:p w14:paraId="1615E6C5" w14:textId="77777777" w:rsidR="00053BDE" w:rsidRPr="001717C7" w:rsidRDefault="00053BDE"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DB5B" w14:textId="77777777" w:rsidR="009255F6" w:rsidRDefault="00925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1B29" w14:textId="77777777" w:rsidR="00E530E1" w:rsidRDefault="00E530E1" w:rsidP="003C2DE9">
      <w:pPr>
        <w:spacing w:before="0" w:after="0"/>
      </w:pPr>
      <w:r>
        <w:separator/>
      </w:r>
    </w:p>
    <w:p w14:paraId="24C5A965" w14:textId="77777777" w:rsidR="00E530E1" w:rsidRDefault="00E530E1"/>
    <w:p w14:paraId="4E0055B1" w14:textId="77777777" w:rsidR="00E530E1" w:rsidRDefault="00E530E1"/>
  </w:footnote>
  <w:footnote w:type="continuationSeparator" w:id="0">
    <w:p w14:paraId="39252DEE" w14:textId="77777777" w:rsidR="00E530E1" w:rsidRDefault="00E530E1" w:rsidP="003C2DE9">
      <w:pPr>
        <w:spacing w:before="0" w:after="0"/>
      </w:pPr>
      <w:r>
        <w:continuationSeparator/>
      </w:r>
    </w:p>
    <w:p w14:paraId="625FE34B" w14:textId="77777777" w:rsidR="00E530E1" w:rsidRDefault="00E530E1"/>
    <w:p w14:paraId="139F9A4D" w14:textId="77777777" w:rsidR="00E530E1" w:rsidRDefault="00E530E1"/>
  </w:footnote>
  <w:footnote w:type="continuationNotice" w:id="1">
    <w:p w14:paraId="3140C654" w14:textId="77777777" w:rsidR="00E530E1" w:rsidRDefault="00E530E1">
      <w:pPr>
        <w:spacing w:before="0" w:after="0"/>
      </w:pPr>
    </w:p>
    <w:p w14:paraId="1D054315" w14:textId="77777777" w:rsidR="00E530E1" w:rsidRDefault="00E530E1"/>
    <w:p w14:paraId="6DEB49CD" w14:textId="77777777" w:rsidR="00E530E1" w:rsidRDefault="00E530E1"/>
  </w:footnote>
  <w:footnote w:id="2">
    <w:p w14:paraId="06238A84" w14:textId="10BD2DD7" w:rsidR="00053BDE" w:rsidRPr="004C6708" w:rsidRDefault="00053BDE" w:rsidP="00053BDE">
      <w:pPr>
        <w:pStyle w:val="Footnote"/>
        <w:rPr>
          <w:b w:val="0"/>
        </w:rPr>
      </w:pPr>
      <w:r>
        <w:rPr>
          <w:vertAlign w:val="superscript"/>
        </w:rPr>
        <w:t>1</w:t>
      </w:r>
      <w:r>
        <w:t xml:space="preserve"> </w:t>
      </w:r>
      <w:r w:rsidRPr="00053BDE">
        <w:t xml:space="preserve">LIZENZGEBER: </w:t>
      </w:r>
      <w:r w:rsidRPr="00053BDE">
        <w:rPr>
          <w:b w:val="0"/>
        </w:rPr>
        <w:t>Geben Sie die Gesamtzahl der Serverlizenzen an, für die der Endbenutzer nach diesem Vertrag lizenziert ist.</w:t>
      </w:r>
    </w:p>
  </w:footnote>
  <w:footnote w:id="3">
    <w:p w14:paraId="0F92A1BB" w14:textId="1E6C9377" w:rsidR="00053BDE" w:rsidRPr="004C6708" w:rsidRDefault="00053BDE" w:rsidP="00053BDE">
      <w:pPr>
        <w:pStyle w:val="Footnote"/>
        <w:rPr>
          <w:b w:val="0"/>
        </w:rPr>
      </w:pPr>
      <w:r>
        <w:rPr>
          <w:vertAlign w:val="superscript"/>
        </w:rPr>
        <w:t>2</w:t>
      </w:r>
      <w:r>
        <w:t xml:space="preserve"> </w:t>
      </w:r>
      <w:r w:rsidRPr="00053BDE">
        <w:t xml:space="preserve">LIZENZGEBER: </w:t>
      </w:r>
      <w:r w:rsidRPr="00053BDE">
        <w:rPr>
          <w:b w:val="0"/>
        </w:rPr>
        <w:t>Geben Sie die Gesamtzahl der Nutzer-CALs an, die direkt oder indirekt auf Instanzen der im Rahmen dieses Vertrags lizenzierten Serversoftware zugreifen dürfen.</w:t>
      </w:r>
    </w:p>
  </w:footnote>
  <w:footnote w:id="4">
    <w:p w14:paraId="3F4F1F73" w14:textId="5EA6128D" w:rsidR="00053BDE" w:rsidRPr="004C6708" w:rsidRDefault="00053BDE" w:rsidP="00053BDE">
      <w:pPr>
        <w:pStyle w:val="Footnote"/>
        <w:rPr>
          <w:b w:val="0"/>
        </w:rPr>
      </w:pPr>
      <w:r>
        <w:rPr>
          <w:vertAlign w:val="superscript"/>
        </w:rPr>
        <w:t xml:space="preserve">3 </w:t>
      </w:r>
      <w:r w:rsidRPr="00053BDE">
        <w:t xml:space="preserve">LIZENZGEBER: </w:t>
      </w:r>
      <w:r w:rsidRPr="00053BDE">
        <w:rPr>
          <w:b w:val="0"/>
        </w:rPr>
        <w:t>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053BDE" w:rsidRDefault="00053BDE">
    <w:pPr>
      <w:pStyle w:val="Header"/>
    </w:pPr>
  </w:p>
  <w:p w14:paraId="4FF76318" w14:textId="77777777" w:rsidR="00053BDE" w:rsidRDefault="00053BDE"/>
  <w:p w14:paraId="2E611623" w14:textId="77777777" w:rsidR="00FD4309" w:rsidRDefault="00FD43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053BDE" w:rsidRDefault="00053BDE">
    <w:pPr>
      <w:pStyle w:val="Header"/>
    </w:pPr>
  </w:p>
  <w:p w14:paraId="0261CD1F" w14:textId="77777777" w:rsidR="00053BDE" w:rsidRDefault="00053BDE"/>
  <w:p w14:paraId="27381389" w14:textId="77777777" w:rsidR="00FD4309" w:rsidRDefault="00FD43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D238C" w14:textId="77777777" w:rsidR="009255F6" w:rsidRDefault="00925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CF2DBF4"/>
    <w:lvl w:ilvl="0" w:tplc="D28CCA40">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223A9070"/>
    <w:lvl w:ilvl="0" w:tplc="C58627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659C7170"/>
    <w:lvl w:ilvl="0" w:tplc="77266CE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449859841">
    <w:abstractNumId w:val="28"/>
  </w:num>
  <w:num w:numId="2" w16cid:durableId="97141766">
    <w:abstractNumId w:val="4"/>
  </w:num>
  <w:num w:numId="3" w16cid:durableId="1458915795">
    <w:abstractNumId w:val="21"/>
  </w:num>
  <w:num w:numId="4" w16cid:durableId="510492429">
    <w:abstractNumId w:val="20"/>
  </w:num>
  <w:num w:numId="5" w16cid:durableId="1713143354">
    <w:abstractNumId w:val="24"/>
  </w:num>
  <w:num w:numId="6" w16cid:durableId="1234656460">
    <w:abstractNumId w:val="25"/>
  </w:num>
  <w:num w:numId="7" w16cid:durableId="433595277">
    <w:abstractNumId w:val="16"/>
  </w:num>
  <w:num w:numId="8" w16cid:durableId="618297421">
    <w:abstractNumId w:val="9"/>
  </w:num>
  <w:num w:numId="9" w16cid:durableId="1025669166">
    <w:abstractNumId w:val="1"/>
  </w:num>
  <w:num w:numId="10" w16cid:durableId="2074422749">
    <w:abstractNumId w:val="2"/>
  </w:num>
  <w:num w:numId="11" w16cid:durableId="451560017">
    <w:abstractNumId w:val="23"/>
  </w:num>
  <w:num w:numId="12" w16cid:durableId="939918823">
    <w:abstractNumId w:val="15"/>
  </w:num>
  <w:num w:numId="13" w16cid:durableId="322004894">
    <w:abstractNumId w:val="7"/>
  </w:num>
  <w:num w:numId="14" w16cid:durableId="366493712">
    <w:abstractNumId w:val="3"/>
  </w:num>
  <w:num w:numId="15" w16cid:durableId="1294796325">
    <w:abstractNumId w:val="18"/>
  </w:num>
  <w:num w:numId="16" w16cid:durableId="419526568">
    <w:abstractNumId w:val="5"/>
  </w:num>
  <w:num w:numId="17" w16cid:durableId="1526552365">
    <w:abstractNumId w:val="26"/>
  </w:num>
  <w:num w:numId="18" w16cid:durableId="890339189">
    <w:abstractNumId w:val="11"/>
  </w:num>
  <w:num w:numId="19" w16cid:durableId="120615936">
    <w:abstractNumId w:val="10"/>
  </w:num>
  <w:num w:numId="20" w16cid:durableId="131218629">
    <w:abstractNumId w:val="22"/>
  </w:num>
  <w:num w:numId="21" w16cid:durableId="1668747343">
    <w:abstractNumId w:val="13"/>
  </w:num>
  <w:num w:numId="22" w16cid:durableId="13149900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9884467">
    <w:abstractNumId w:val="0"/>
  </w:num>
  <w:num w:numId="24" w16cid:durableId="1952664327">
    <w:abstractNumId w:val="19"/>
  </w:num>
  <w:num w:numId="25" w16cid:durableId="33313092">
    <w:abstractNumId w:val="17"/>
  </w:num>
  <w:num w:numId="26" w16cid:durableId="1600066686">
    <w:abstractNumId w:val="27"/>
  </w:num>
  <w:num w:numId="27" w16cid:durableId="2089303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0570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8766706">
    <w:abstractNumId w:val="21"/>
  </w:num>
  <w:num w:numId="30" w16cid:durableId="10400835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2728728">
    <w:abstractNumId w:val="8"/>
  </w:num>
  <w:num w:numId="32" w16cid:durableId="63842504">
    <w:abstractNumId w:val="7"/>
  </w:num>
  <w:num w:numId="33" w16cid:durableId="1199009515">
    <w:abstractNumId w:val="20"/>
  </w:num>
  <w:num w:numId="34" w16cid:durableId="1916545165">
    <w:abstractNumId w:val="7"/>
  </w:num>
  <w:num w:numId="35" w16cid:durableId="233248242">
    <w:abstractNumId w:val="20"/>
  </w:num>
  <w:num w:numId="36" w16cid:durableId="192768330">
    <w:abstractNumId w:val="12"/>
  </w:num>
  <w:num w:numId="37" w16cid:durableId="1138184035">
    <w:abstractNumId w:val="6"/>
  </w:num>
  <w:num w:numId="38" w16cid:durableId="986931520">
    <w:abstractNumId w:val="14"/>
  </w:num>
  <w:num w:numId="39" w16cid:durableId="1050350702">
    <w:abstractNumId w:val="7"/>
  </w:num>
  <w:num w:numId="40" w16cid:durableId="1708525018">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3BDE"/>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3B6C"/>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07EC8"/>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1598"/>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30B8"/>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33CD"/>
    <w:rsid w:val="00705F9B"/>
    <w:rsid w:val="00713192"/>
    <w:rsid w:val="00713326"/>
    <w:rsid w:val="007150C5"/>
    <w:rsid w:val="00715142"/>
    <w:rsid w:val="007166AB"/>
    <w:rsid w:val="00717037"/>
    <w:rsid w:val="0071708E"/>
    <w:rsid w:val="00721BA6"/>
    <w:rsid w:val="00721E2F"/>
    <w:rsid w:val="007221C6"/>
    <w:rsid w:val="00724D6B"/>
    <w:rsid w:val="00735D97"/>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5F8E"/>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55F6"/>
    <w:rsid w:val="0092772C"/>
    <w:rsid w:val="00932164"/>
    <w:rsid w:val="0093451C"/>
    <w:rsid w:val="0093564D"/>
    <w:rsid w:val="00937D00"/>
    <w:rsid w:val="009407BC"/>
    <w:rsid w:val="0094406D"/>
    <w:rsid w:val="00947C67"/>
    <w:rsid w:val="009519D5"/>
    <w:rsid w:val="009525E3"/>
    <w:rsid w:val="00952652"/>
    <w:rsid w:val="0095399A"/>
    <w:rsid w:val="009557D1"/>
    <w:rsid w:val="00957282"/>
    <w:rsid w:val="009617CD"/>
    <w:rsid w:val="00961F02"/>
    <w:rsid w:val="009626C4"/>
    <w:rsid w:val="00965398"/>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36EAC"/>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0C5"/>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30E1"/>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2DB4"/>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4DC"/>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309"/>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15:docId w15:val="{C3CC580F-A1D5-4EDB-9651-14646997B64D}"/>
  <w:documentProtection w:edit="forms" w:enforcement="true" w:cryptProviderType="rsaFull" w:cryptAlgorithmClass="hash" w:cryptAlgorithmType="typeAny" w:cryptAlgorithmSid="4" w:cryptSpinCount="50000" w:hash="37E+AoiJdCt9AWLWe8wVUgaQIVc=" w:salt="Jv+o5b8uTjew1e+GbVAf6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de-DE"/>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39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EEF073-1B91-493B-8FCC-E4B15767A3E3}">
  <ds:schemaRefs>
    <ds:schemaRef ds:uri="http://schemas.openxmlformats.org/officeDocument/2006/bibliography"/>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BA252E08-C3F0-4B4C-9069-278B631FA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ba88a61d-9142-4417-9853-35bdbf8bd0a8"/>
    <ds:schemaRef ds:uri="230e9df3-be65-4c73-a93b-d1236ebd677e"/>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27</TotalTime>
  <Pages>1</Pages>
  <Words>2904</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20</cp:revision>
  <cp:lastPrinted>2012-05-10T15:44:00Z</cp:lastPrinted>
  <dcterms:created xsi:type="dcterms:W3CDTF">2019-05-13T18:12:00Z</dcterms:created>
  <dcterms:modified xsi:type="dcterms:W3CDTF">2022-11-02T00:26:00Z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